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4C19FA">
      <w:pPr>
        <w:pStyle w:val="7"/>
        <w:keepNext w:val="0"/>
        <w:keepLines w:val="0"/>
        <w:pageBreakBefore w:val="0"/>
        <w:widowControl w:val="0"/>
        <w:kinsoku/>
        <w:wordWrap/>
        <w:overflowPunct/>
        <w:topLinePunct w:val="0"/>
        <w:bidi w:val="0"/>
        <w:snapToGrid/>
        <w:spacing w:line="720" w:lineRule="auto"/>
        <w:jc w:val="center"/>
        <w:textAlignment w:val="auto"/>
        <w:rPr>
          <w:rFonts w:hint="eastAsia" w:ascii="黑体" w:hAnsi="黑体" w:eastAsia="黑体" w:cs="黑体"/>
          <w:b w:val="0"/>
          <w:bCs/>
          <w:sz w:val="32"/>
          <w:szCs w:val="32"/>
        </w:rPr>
      </w:pPr>
      <w:r>
        <w:rPr>
          <w:rFonts w:hint="eastAsia" w:hAnsi="黑体" w:cs="黑体"/>
          <w:b w:val="0"/>
          <w:bCs/>
          <w:sz w:val="32"/>
          <w:szCs w:val="32"/>
          <w:lang w:eastAsia="zh-CN"/>
        </w:rPr>
        <w:t>新晃侗族自治县信访局</w:t>
      </w:r>
      <w:r>
        <w:rPr>
          <w:rFonts w:hint="eastAsia" w:ascii="黑体" w:hAnsi="黑体" w:eastAsia="黑体" w:cs="黑体"/>
          <w:b w:val="0"/>
          <w:bCs/>
          <w:sz w:val="32"/>
          <w:szCs w:val="32"/>
        </w:rPr>
        <w:t>关于</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4</w:t>
      </w:r>
      <w:r>
        <w:rPr>
          <w:rFonts w:hint="eastAsia" w:ascii="黑体" w:hAnsi="黑体" w:eastAsia="黑体" w:cs="黑体"/>
          <w:b w:val="0"/>
          <w:bCs/>
          <w:sz w:val="32"/>
          <w:szCs w:val="32"/>
        </w:rPr>
        <w:t>年度预算绩效情况的说明</w:t>
      </w:r>
    </w:p>
    <w:p w14:paraId="257D9EB6"/>
    <w:p w14:paraId="07748D0A">
      <w:pPr>
        <w:overflowPunct w:val="0"/>
        <w:spacing w:line="600" w:lineRule="exact"/>
        <w:ind w:firstLine="643"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（一）绩效评价工作开展情况</w:t>
      </w:r>
    </w:p>
    <w:p w14:paraId="6524BDF8">
      <w:pPr>
        <w:overflowPunct w:val="0"/>
        <w:spacing w:line="600" w:lineRule="exact"/>
        <w:ind w:firstLine="643" w:firstLineChars="200"/>
        <w:rPr>
          <w:rFonts w:ascii="Times New Roman" w:hAnsi="Times New Roman" w:eastAsia="仿宋_GB2312" w:cs="Times New Roman"/>
          <w:kern w:val="0"/>
          <w:sz w:val="32"/>
          <w:szCs w:val="32"/>
        </w:rPr>
      </w:pPr>
      <w:r>
        <w:rPr>
          <w:rFonts w:ascii="Times New Roman" w:hAnsi="Times New Roman" w:eastAsia="仿宋_GB2312" w:cs="Times New Roman"/>
          <w:b/>
          <w:bCs/>
          <w:kern w:val="0"/>
          <w:sz w:val="32"/>
          <w:szCs w:val="32"/>
        </w:rPr>
        <w:t>一是绩效自评开展情况。</w:t>
      </w:r>
      <w:r>
        <w:rPr>
          <w:rFonts w:ascii="Times New Roman" w:hAnsi="Times New Roman" w:eastAsia="仿宋_GB2312" w:cs="Times New Roman"/>
          <w:kern w:val="0"/>
          <w:sz w:val="32"/>
          <w:szCs w:val="32"/>
        </w:rPr>
        <w:t>组织对2024年度本部门（单位）整体支出开展绩效自评，涉及项目</w:t>
      </w:r>
      <w:r>
        <w:rPr>
          <w:rFonts w:hint="eastAsia" w:ascii="Times New Roman" w:hAnsi="Times New Roman" w:eastAsia="仿宋_GB2312" w:cs="Times New Roman"/>
          <w:kern w:val="0"/>
          <w:sz w:val="32"/>
          <w:szCs w:val="32"/>
          <w:lang w:val="en-US" w:eastAsia="zh-CN"/>
        </w:rPr>
        <w:t>4</w:t>
      </w:r>
      <w:r>
        <w:rPr>
          <w:rFonts w:ascii="Times New Roman" w:hAnsi="Times New Roman" w:eastAsia="仿宋_GB2312" w:cs="Times New Roman"/>
          <w:kern w:val="0"/>
          <w:sz w:val="32"/>
          <w:szCs w:val="32"/>
        </w:rPr>
        <w:t>个，共涉及资金</w:t>
      </w:r>
      <w:r>
        <w:rPr>
          <w:rFonts w:hint="eastAsia" w:ascii="Times New Roman" w:hAnsi="Times New Roman" w:eastAsia="仿宋_GB2312" w:cs="Times New Roman"/>
          <w:kern w:val="0"/>
          <w:sz w:val="32"/>
          <w:szCs w:val="32"/>
          <w:lang w:val="en-US" w:eastAsia="zh-CN"/>
        </w:rPr>
        <w:t>73.62</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4</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73.62</w:t>
      </w:r>
      <w:r>
        <w:rPr>
          <w:rFonts w:ascii="Times New Roman" w:hAnsi="Times New Roman" w:eastAsia="仿宋_GB2312" w:cs="Times New Roman"/>
          <w:kern w:val="0"/>
          <w:sz w:val="32"/>
          <w:szCs w:val="32"/>
        </w:rPr>
        <w:t>万元，占一般公共预算支出总额的</w:t>
      </w:r>
      <w:r>
        <w:rPr>
          <w:rFonts w:hint="eastAsia" w:ascii="Times New Roman" w:hAnsi="Times New Roman" w:eastAsia="仿宋_GB2312" w:cs="Times New Roman"/>
          <w:kern w:val="0"/>
          <w:sz w:val="32"/>
          <w:szCs w:val="32"/>
          <w:lang w:val="en-US" w:eastAsia="zh-CN"/>
        </w:rPr>
        <w:t>28.38</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万元，占政府性基金预算支出总额的</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万元，占国有资本经营预算支出总额的</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%；社会保险基金预算项</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万元，占社会保险基金预算支出总额的</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w:t>
      </w:r>
    </w:p>
    <w:p w14:paraId="2F178A28">
      <w:pPr>
        <w:overflowPunct w:val="0"/>
        <w:spacing w:line="600" w:lineRule="exact"/>
        <w:ind w:firstLine="643" w:firstLineChars="200"/>
        <w:rPr>
          <w:rFonts w:ascii="Times New Roman" w:hAnsi="Times New Roman" w:eastAsia="仿宋_GB2312" w:cs="Times New Roman"/>
          <w:kern w:val="0"/>
          <w:sz w:val="32"/>
          <w:szCs w:val="32"/>
        </w:rPr>
      </w:pPr>
      <w:r>
        <w:rPr>
          <w:rFonts w:ascii="Times New Roman" w:hAnsi="Times New Roman" w:eastAsia="仿宋_GB2312" w:cs="Times New Roman"/>
          <w:b/>
          <w:bCs/>
          <w:kern w:val="0"/>
          <w:sz w:val="32"/>
          <w:szCs w:val="32"/>
        </w:rPr>
        <w:t>二是部门评价开展情况。</w:t>
      </w:r>
      <w:r>
        <w:rPr>
          <w:rFonts w:ascii="Times New Roman" w:hAnsi="Times New Roman" w:eastAsia="仿宋_GB2312" w:cs="Times New Roman"/>
          <w:kern w:val="0"/>
          <w:sz w:val="32"/>
          <w:szCs w:val="32"/>
        </w:rPr>
        <w:t>组织对所属单位2024年度“</w:t>
      </w:r>
      <w:r>
        <w:rPr>
          <w:rFonts w:hint="eastAsia" w:ascii="Times New Roman" w:hAnsi="Times New Roman" w:eastAsia="仿宋_GB2312" w:cs="Times New Roman"/>
          <w:kern w:val="0"/>
          <w:sz w:val="32"/>
          <w:szCs w:val="32"/>
        </w:rPr>
        <w:t>专项业务经费</w:t>
      </w:r>
      <w:r>
        <w:rPr>
          <w:rFonts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rPr>
        <w:t>驻京信访维稳劝返值班工作经费</w:t>
      </w:r>
      <w:r>
        <w:rPr>
          <w:rFonts w:ascii="Times New Roman" w:hAnsi="Times New Roman" w:eastAsia="仿宋_GB2312" w:cs="Times New Roman"/>
          <w:kern w:val="0"/>
          <w:sz w:val="32"/>
          <w:szCs w:val="32"/>
        </w:rPr>
        <w:t>”等</w:t>
      </w: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kern w:val="0"/>
          <w:sz w:val="32"/>
          <w:szCs w:val="32"/>
        </w:rPr>
        <w:t>个项目开展了部门评价，涉及一般公共预算支出</w:t>
      </w:r>
      <w:r>
        <w:rPr>
          <w:rFonts w:hint="eastAsia" w:ascii="Times New Roman" w:hAnsi="Times New Roman" w:eastAsia="仿宋_GB2312" w:cs="Times New Roman"/>
          <w:sz w:val="32"/>
          <w:szCs w:val="32"/>
          <w:lang w:val="en-US" w:eastAsia="zh-CN"/>
        </w:rPr>
        <w:t>73.62</w:t>
      </w:r>
      <w:r>
        <w:rPr>
          <w:rFonts w:ascii="Times New Roman" w:hAnsi="Times New Roman" w:eastAsia="仿宋_GB2312" w:cs="Times New Roman"/>
          <w:kern w:val="0"/>
          <w:sz w:val="32"/>
          <w:szCs w:val="32"/>
        </w:rPr>
        <w:t>万元，政府性基金预算支出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万元，国有资本经营预算支出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万元，社会保险基金预算支出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万元。</w:t>
      </w:r>
    </w:p>
    <w:p w14:paraId="2BE10005">
      <w:pPr>
        <w:overflowPunct w:val="0"/>
        <w:spacing w:line="600" w:lineRule="exact"/>
        <w:ind w:firstLine="643" w:firstLineChars="200"/>
        <w:rPr>
          <w:rFonts w:ascii="Times New Roman" w:hAnsi="Times New Roman" w:eastAsia="楷体" w:cs="Times New Roman"/>
          <w:b/>
          <w:bCs/>
          <w:sz w:val="32"/>
          <w:szCs w:val="32"/>
        </w:rPr>
      </w:pPr>
      <w:r>
        <w:rPr>
          <w:rFonts w:ascii="Times New Roman" w:hAnsi="Times New Roman" w:eastAsia="仿宋_GB2312" w:cs="Times New Roman"/>
          <w:b/>
          <w:bCs/>
          <w:kern w:val="0"/>
          <w:sz w:val="32"/>
          <w:szCs w:val="32"/>
        </w:rPr>
        <w:t>三是事前绩效评估开展情况。</w:t>
      </w:r>
      <w:r>
        <w:rPr>
          <w:rFonts w:ascii="Times New Roman" w:hAnsi="Times New Roman" w:eastAsia="仿宋_GB2312" w:cs="Times New Roman"/>
          <w:kern w:val="0"/>
          <w:sz w:val="32"/>
          <w:szCs w:val="32"/>
        </w:rPr>
        <w:t>组织对2024年度</w:t>
      </w: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kern w:val="0"/>
          <w:sz w:val="32"/>
          <w:szCs w:val="32"/>
        </w:rPr>
        <w:t>个项目开展事前绩效评估，共涉及资金</w:t>
      </w:r>
      <w:r>
        <w:rPr>
          <w:rFonts w:hint="eastAsia" w:ascii="Times New Roman" w:hAnsi="Times New Roman" w:eastAsia="仿宋_GB2312" w:cs="Times New Roman"/>
          <w:kern w:val="0"/>
          <w:sz w:val="32"/>
          <w:szCs w:val="32"/>
          <w:lang w:val="en-US" w:eastAsia="zh-CN"/>
        </w:rPr>
        <w:t>73.62</w:t>
      </w:r>
      <w:r>
        <w:rPr>
          <w:rFonts w:ascii="Times New Roman" w:hAnsi="Times New Roman" w:eastAsia="仿宋_GB2312" w:cs="Times New Roman"/>
          <w:kern w:val="0"/>
          <w:sz w:val="32"/>
          <w:szCs w:val="32"/>
        </w:rPr>
        <w:t>万元。</w:t>
      </w:r>
    </w:p>
    <w:p w14:paraId="0245B980">
      <w:pPr>
        <w:numPr>
          <w:ilvl w:val="0"/>
          <w:numId w:val="1"/>
        </w:numPr>
        <w:spacing w:line="560" w:lineRule="exact"/>
        <w:ind w:firstLine="643" w:firstLineChars="200"/>
        <w:jc w:val="left"/>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绩效评价结果</w:t>
      </w:r>
    </w:p>
    <w:p w14:paraId="532A541F">
      <w:pPr>
        <w:numPr>
          <w:numId w:val="0"/>
        </w:numPr>
        <w:spacing w:line="560" w:lineRule="exact"/>
        <w:ind w:firstLine="643" w:firstLineChars="200"/>
        <w:jc w:val="left"/>
        <w:rPr>
          <w:rFonts w:hint="eastAsia" w:eastAsia="仿宋_GB2312"/>
          <w:sz w:val="32"/>
          <w:szCs w:val="32"/>
        </w:rPr>
      </w:pPr>
      <w:r>
        <w:rPr>
          <w:rFonts w:ascii="Times New Roman" w:hAnsi="Times New Roman" w:eastAsia="仿宋_GB2312" w:cs="Times New Roman"/>
          <w:b/>
          <w:bCs/>
          <w:kern w:val="0"/>
          <w:sz w:val="32"/>
          <w:szCs w:val="32"/>
        </w:rPr>
        <w:t>一是绩效自评结果。</w:t>
      </w:r>
      <w:r>
        <w:rPr>
          <w:rFonts w:ascii="Times New Roman" w:hAnsi="Times New Roman" w:eastAsia="仿宋_GB2312" w:cs="Times New Roman"/>
          <w:kern w:val="0"/>
          <w:sz w:val="32"/>
          <w:szCs w:val="32"/>
        </w:rPr>
        <w:t>2024年度本部门（单位）整体支出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221.66</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259.40</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117.03</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97</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优秀</w:t>
      </w:r>
      <w:r>
        <w:rPr>
          <w:rFonts w:ascii="Times New Roman" w:hAnsi="Times New Roman" w:eastAsia="仿宋_GB2312" w:cs="Times New Roman"/>
          <w:sz w:val="32"/>
          <w:szCs w:val="32"/>
        </w:rPr>
        <w:t>”。绩效目标完成情况：一是</w:t>
      </w:r>
      <w:r>
        <w:rPr>
          <w:rFonts w:hint="eastAsia" w:ascii="仿宋" w:hAnsi="仿宋" w:eastAsia="仿宋" w:cs="仿宋"/>
          <w:sz w:val="32"/>
          <w:szCs w:val="32"/>
        </w:rPr>
        <w:t>保障</w:t>
      </w:r>
      <w:r>
        <w:rPr>
          <w:rFonts w:hint="eastAsia" w:ascii="仿宋" w:hAnsi="仿宋" w:eastAsia="仿宋" w:cs="仿宋"/>
          <w:sz w:val="32"/>
          <w:szCs w:val="32"/>
          <w:lang w:eastAsia="zh-CN"/>
        </w:rPr>
        <w:t>了</w:t>
      </w:r>
      <w:r>
        <w:rPr>
          <w:rFonts w:hint="eastAsia" w:ascii="仿宋" w:hAnsi="仿宋" w:eastAsia="仿宋" w:cs="仿宋"/>
          <w:sz w:val="32"/>
          <w:szCs w:val="32"/>
        </w:rPr>
        <w:t>我单位正常工作运转经费开支以及在职和退休工作人员的工资福利待遇；</w:t>
      </w:r>
      <w:r>
        <w:rPr>
          <w:rFonts w:hint="eastAsia" w:ascii="仿宋" w:hAnsi="仿宋" w:eastAsia="仿宋" w:cs="仿宋"/>
          <w:sz w:val="32"/>
          <w:szCs w:val="32"/>
          <w:lang w:eastAsia="zh-CN"/>
        </w:rPr>
        <w:t>二是</w:t>
      </w:r>
      <w:r>
        <w:rPr>
          <w:rFonts w:hint="eastAsia" w:ascii="仿宋" w:hAnsi="仿宋" w:eastAsia="仿宋" w:cs="仿宋"/>
          <w:sz w:val="32"/>
          <w:szCs w:val="32"/>
        </w:rPr>
        <w:t>进一步夯实基层基础建设，加强矛盾纠纷和信访隐患排查，提高</w:t>
      </w:r>
      <w:r>
        <w:rPr>
          <w:rFonts w:hint="eastAsia" w:ascii="仿宋" w:hAnsi="仿宋" w:eastAsia="仿宋" w:cs="仿宋"/>
          <w:sz w:val="32"/>
          <w:szCs w:val="32"/>
          <w:lang w:eastAsia="zh-CN"/>
        </w:rPr>
        <w:t>了</w:t>
      </w:r>
      <w:r>
        <w:rPr>
          <w:rFonts w:hint="eastAsia" w:ascii="仿宋" w:hAnsi="仿宋" w:eastAsia="仿宋" w:cs="仿宋"/>
          <w:sz w:val="32"/>
          <w:szCs w:val="32"/>
        </w:rPr>
        <w:t>基层初信初访办结率和办结质量</w:t>
      </w:r>
      <w:r>
        <w:rPr>
          <w:rFonts w:hint="eastAsia" w:ascii="仿宋" w:hAnsi="仿宋" w:eastAsia="仿宋" w:cs="仿宋"/>
          <w:sz w:val="32"/>
          <w:szCs w:val="32"/>
          <w:lang w:eastAsia="zh-CN"/>
        </w:rPr>
        <w:t>；三是</w:t>
      </w:r>
      <w:r>
        <w:rPr>
          <w:rFonts w:hint="eastAsia" w:ascii="仿宋" w:hAnsi="仿宋" w:eastAsia="仿宋" w:cs="仿宋"/>
          <w:sz w:val="32"/>
          <w:szCs w:val="32"/>
        </w:rPr>
        <w:t>打好</w:t>
      </w:r>
      <w:r>
        <w:rPr>
          <w:rFonts w:hint="eastAsia" w:ascii="仿宋" w:hAnsi="仿宋" w:eastAsia="仿宋" w:cs="仿宋"/>
          <w:sz w:val="32"/>
          <w:szCs w:val="32"/>
          <w:lang w:eastAsia="zh-CN"/>
        </w:rPr>
        <w:t>了</w:t>
      </w:r>
      <w:r>
        <w:rPr>
          <w:rFonts w:hint="eastAsia" w:ascii="仿宋" w:hAnsi="仿宋" w:eastAsia="仿宋" w:cs="仿宋"/>
          <w:sz w:val="32"/>
          <w:szCs w:val="32"/>
        </w:rPr>
        <w:t>信访矛盾化解攻坚战，深入开展重复信访越级访集中整治专项行动、依法做好特护期信访稳定工作；</w:t>
      </w:r>
      <w:r>
        <w:rPr>
          <w:rFonts w:hint="eastAsia" w:ascii="仿宋" w:hAnsi="仿宋" w:eastAsia="仿宋" w:cs="仿宋"/>
          <w:sz w:val="32"/>
          <w:szCs w:val="32"/>
          <w:lang w:eastAsia="zh-CN"/>
        </w:rPr>
        <w:t>四是</w:t>
      </w:r>
      <w:r>
        <w:rPr>
          <w:rFonts w:hint="eastAsia" w:ascii="仿宋" w:hAnsi="仿宋" w:eastAsia="仿宋" w:cs="仿宋"/>
          <w:sz w:val="32"/>
          <w:szCs w:val="32"/>
        </w:rPr>
        <w:t>不断推进</w:t>
      </w:r>
      <w:r>
        <w:rPr>
          <w:rFonts w:hint="eastAsia" w:ascii="仿宋" w:hAnsi="仿宋" w:eastAsia="仿宋" w:cs="仿宋"/>
          <w:sz w:val="32"/>
          <w:szCs w:val="32"/>
          <w:lang w:eastAsia="zh-CN"/>
        </w:rPr>
        <w:t>了</w:t>
      </w:r>
      <w:r>
        <w:rPr>
          <w:rFonts w:hint="eastAsia" w:ascii="仿宋" w:hAnsi="仿宋" w:eastAsia="仿宋" w:cs="仿宋"/>
          <w:sz w:val="32"/>
          <w:szCs w:val="32"/>
        </w:rPr>
        <w:t>信访法治化建设和提升信访工作信息化水平，健全信访工作长效机制。</w:t>
      </w:r>
      <w:r>
        <w:rPr>
          <w:rFonts w:ascii="Times New Roman" w:hAnsi="Times New Roman" w:eastAsia="仿宋_GB2312" w:cs="Times New Roman"/>
          <w:sz w:val="32"/>
          <w:szCs w:val="32"/>
        </w:rPr>
        <w:t>发现的主要问题及原因：一是</w:t>
      </w:r>
      <w:r>
        <w:rPr>
          <w:rFonts w:hint="eastAsia" w:eastAsia="仿宋_GB2312"/>
          <w:sz w:val="32"/>
          <w:szCs w:val="32"/>
        </w:rPr>
        <w:t>预算准确率有待提高。年初预算编制不够精确，考虑不全面，导致年底决算数与年初预算数</w:t>
      </w:r>
      <w:r>
        <w:rPr>
          <w:rFonts w:hint="eastAsia" w:eastAsia="仿宋_GB2312"/>
          <w:sz w:val="32"/>
          <w:szCs w:val="32"/>
          <w:lang w:eastAsia="zh-CN"/>
        </w:rPr>
        <w:t>有差距</w:t>
      </w:r>
      <w:r>
        <w:rPr>
          <w:rFonts w:hint="eastAsia" w:eastAsia="仿宋_GB2312"/>
          <w:sz w:val="32"/>
          <w:szCs w:val="32"/>
        </w:rPr>
        <w:t>。原因是前瞻性不强，没有综合考虑单位公用经费及项目支出</w:t>
      </w:r>
      <w:r>
        <w:rPr>
          <w:rFonts w:hint="eastAsia" w:eastAsia="仿宋_GB2312"/>
          <w:sz w:val="32"/>
          <w:szCs w:val="32"/>
          <w:lang w:eastAsia="zh-CN"/>
        </w:rPr>
        <w:t>。</w:t>
      </w:r>
      <w:r>
        <w:rPr>
          <w:rFonts w:ascii="Times New Roman" w:hAnsi="Times New Roman" w:eastAsia="仿宋_GB2312" w:cs="Times New Roman"/>
          <w:sz w:val="32"/>
          <w:szCs w:val="32"/>
        </w:rPr>
        <w:t>二是</w:t>
      </w:r>
      <w:r>
        <w:rPr>
          <w:rFonts w:hint="eastAsia" w:eastAsia="仿宋_GB2312"/>
          <w:sz w:val="32"/>
          <w:szCs w:val="32"/>
        </w:rPr>
        <w:t>预算执行存在偏差。</w:t>
      </w:r>
      <w:r>
        <w:rPr>
          <w:rFonts w:hint="eastAsia" w:eastAsia="仿宋_GB2312"/>
          <w:sz w:val="32"/>
          <w:szCs w:val="32"/>
          <w:lang w:eastAsia="zh-CN"/>
        </w:rPr>
        <w:t>由于财政资金有限，实际下达资金不足，</w:t>
      </w:r>
      <w:r>
        <w:rPr>
          <w:rFonts w:hint="eastAsia" w:eastAsia="仿宋_GB2312"/>
          <w:sz w:val="32"/>
          <w:szCs w:val="32"/>
        </w:rPr>
        <w:t>造成部分科目实际支出比预算偏高，</w:t>
      </w:r>
      <w:r>
        <w:rPr>
          <w:rFonts w:hint="eastAsia" w:eastAsia="仿宋_GB2312"/>
          <w:sz w:val="32"/>
          <w:szCs w:val="32"/>
          <w:lang w:eastAsia="zh-CN"/>
        </w:rPr>
        <w:t>或者实际未</w:t>
      </w:r>
      <w:r>
        <w:rPr>
          <w:rFonts w:hint="eastAsia" w:eastAsia="仿宋_GB2312"/>
          <w:sz w:val="32"/>
          <w:szCs w:val="32"/>
        </w:rPr>
        <w:t>缺口资金只能调剂其他资金使用</w:t>
      </w:r>
      <w:r>
        <w:rPr>
          <w:rFonts w:ascii="Times New Roman" w:hAnsi="Times New Roman" w:eastAsia="仿宋_GB2312" w:cs="Times New Roman"/>
          <w:sz w:val="32"/>
          <w:szCs w:val="32"/>
        </w:rPr>
        <w:t>。下一步改进措施：一是</w:t>
      </w:r>
      <w:r>
        <w:rPr>
          <w:rFonts w:hint="eastAsia" w:eastAsia="仿宋_GB2312"/>
          <w:sz w:val="32"/>
          <w:szCs w:val="32"/>
        </w:rPr>
        <w:t>实现绩效管理的规范化、常态化、全过程化。夯实工作基础，完善工作制度，细化工作内容，建立起对应的工作流程和业务规范，运用预算管理、对标管理、资产管理等手段，实现全过程控制，将财务管理由事后管理转化为事前控制、事中监督、预警管理，实现对财务工作的动态管理</w:t>
      </w:r>
      <w:r>
        <w:rPr>
          <w:rFonts w:ascii="Times New Roman" w:hAnsi="Times New Roman" w:eastAsia="仿宋_GB2312" w:cs="Times New Roman"/>
          <w:sz w:val="32"/>
          <w:szCs w:val="32"/>
        </w:rPr>
        <w:t>；二是</w:t>
      </w:r>
      <w:r>
        <w:rPr>
          <w:rFonts w:hint="eastAsia" w:eastAsia="仿宋_GB2312"/>
          <w:sz w:val="32"/>
          <w:szCs w:val="32"/>
        </w:rPr>
        <w:t>建立以绩效为导向的预算编制模式。提高部门预算和整体支出绩效目标编制的科学性和前瞻性，科学合理编制预算，提高预算预见力，严格执行预算，避免项目支出与基本支出划分不准或预算支出与实际执行出现较大偏差的情况</w:t>
      </w:r>
      <w:r>
        <w:rPr>
          <w:rFonts w:hint="eastAsia" w:eastAsia="仿宋_GB2312"/>
          <w:sz w:val="32"/>
          <w:szCs w:val="32"/>
          <w:lang w:eastAsia="zh-CN"/>
        </w:rPr>
        <w:t>；三是</w:t>
      </w:r>
      <w:r>
        <w:rPr>
          <w:rFonts w:hint="eastAsia" w:eastAsia="仿宋_GB2312"/>
          <w:sz w:val="32"/>
          <w:szCs w:val="32"/>
        </w:rPr>
        <w:t>强化内部管理，健全单位内控制度。努力做到“使用有预算、开支有标准、审核有程序”，做到有章可循，违章必究，建立资产定期清查处置制度，有效地加强对单位内部的人、才、物的管理，不断提高资金使用效益，提高单位整体支出绩效。</w:t>
      </w:r>
    </w:p>
    <w:p w14:paraId="3028CC45">
      <w:pPr>
        <w:numPr>
          <w:ilvl w:val="0"/>
          <w:numId w:val="0"/>
        </w:numPr>
        <w:spacing w:line="240" w:lineRule="auto"/>
        <w:ind w:firstLine="643" w:firstLineChars="200"/>
        <w:jc w:val="left"/>
        <w:rPr>
          <w:rFonts w:hint="eastAsia" w:ascii="仿宋_GB2312" w:hAnsi="Times New Roman" w:eastAsia="仿宋_GB2312" w:cs="Times New Roman"/>
          <w:bCs/>
          <w:sz w:val="32"/>
          <w:szCs w:val="32"/>
          <w:lang w:eastAsia="zh-CN"/>
        </w:rPr>
      </w:pPr>
      <w:r>
        <w:rPr>
          <w:rFonts w:ascii="Times New Roman" w:hAnsi="Times New Roman" w:eastAsia="仿宋_GB2312" w:cs="Times New Roman"/>
          <w:b/>
          <w:bCs/>
          <w:kern w:val="0"/>
          <w:sz w:val="32"/>
          <w:szCs w:val="32"/>
        </w:rPr>
        <w:t>二是部门评价结果。</w:t>
      </w:r>
      <w:r>
        <w:rPr>
          <w:rFonts w:hint="eastAsia" w:ascii="仿宋_GB2312" w:eastAsia="仿宋_GB2312"/>
          <w:sz w:val="32"/>
          <w:szCs w:val="32"/>
          <w:lang w:eastAsia="zh-CN"/>
        </w:rPr>
        <w:t>专项业务经费</w:t>
      </w:r>
      <w:r>
        <w:rPr>
          <w:rFonts w:ascii="Times New Roman" w:hAnsi="Times New Roman" w:eastAsia="仿宋_GB2312" w:cs="Times New Roman"/>
          <w:sz w:val="32"/>
          <w:szCs w:val="32"/>
        </w:rPr>
        <w:t>项目全年预算数</w:t>
      </w:r>
      <w:r>
        <w:rPr>
          <w:rFonts w:hint="eastAsia" w:ascii="Times New Roman" w:hAnsi="Times New Roman" w:eastAsia="仿宋_GB2312" w:cs="Times New Roman"/>
          <w:sz w:val="32"/>
          <w:szCs w:val="32"/>
        </w:rPr>
        <w:t>40.86</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40.86</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w:t>
      </w:r>
      <w:r>
        <w:rPr>
          <w:rFonts w:ascii="Times New Roman" w:hAnsi="Times New Roman" w:eastAsia="仿宋_GB2312" w:cs="Times New Roman"/>
          <w:sz w:val="32"/>
          <w:szCs w:val="32"/>
        </w:rPr>
        <w:t>部门评价得分</w:t>
      </w:r>
      <w:r>
        <w:rPr>
          <w:rFonts w:hint="eastAsia" w:ascii="Times New Roman" w:hAnsi="Times New Roman" w:eastAsia="仿宋_GB2312" w:cs="Times New Roman"/>
          <w:sz w:val="32"/>
          <w:szCs w:val="32"/>
          <w:lang w:val="en-US" w:eastAsia="zh-CN"/>
        </w:rPr>
        <w:t>97</w:t>
      </w:r>
      <w:r>
        <w:rPr>
          <w:rFonts w:ascii="Times New Roman" w:hAnsi="Times New Roman" w:eastAsia="仿宋_GB2312" w:cs="Times New Roman"/>
          <w:sz w:val="32"/>
          <w:szCs w:val="32"/>
        </w:rPr>
        <w:t>分，评价等级为</w:t>
      </w:r>
      <w:r>
        <w:rPr>
          <w:rFonts w:hint="eastAsia" w:ascii="Times New Roman" w:hAnsi="Times New Roman" w:eastAsia="仿宋_GB2312" w:cs="Times New Roman"/>
          <w:sz w:val="32"/>
          <w:szCs w:val="32"/>
          <w:lang w:eastAsia="zh-CN"/>
        </w:rPr>
        <w:t>优秀</w:t>
      </w:r>
      <w:r>
        <w:rPr>
          <w:rFonts w:ascii="Times New Roman" w:hAnsi="Times New Roman" w:eastAsia="仿宋_GB2312" w:cs="Times New Roman"/>
          <w:sz w:val="32"/>
          <w:szCs w:val="32"/>
        </w:rPr>
        <w:t>”。发现的主要问题及原因：</w:t>
      </w:r>
      <w:r>
        <w:rPr>
          <w:rFonts w:hint="eastAsia" w:ascii="仿宋_GB2312" w:hAnsi="Times New Roman" w:eastAsia="仿宋_GB2312" w:cs="Times New Roman"/>
          <w:bCs/>
          <w:sz w:val="32"/>
          <w:szCs w:val="32"/>
          <w:lang w:eastAsia="zh-CN"/>
        </w:rPr>
        <w:t>本项目是信访维稳支出，没有单独建立管理制度，参照相关的预算财务管理制度的规定，严格按相关制度执行</w:t>
      </w:r>
      <w:r>
        <w:rPr>
          <w:rFonts w:ascii="Times New Roman" w:hAnsi="Times New Roman" w:eastAsia="仿宋_GB2312" w:cs="Times New Roman"/>
          <w:sz w:val="32"/>
          <w:szCs w:val="32"/>
        </w:rPr>
        <w:t>。下一步改进措施：</w:t>
      </w:r>
      <w:r>
        <w:rPr>
          <w:rFonts w:hint="eastAsia" w:ascii="仿宋_GB2312" w:hAnsi="Times New Roman" w:eastAsia="仿宋_GB2312" w:cs="Times New Roman"/>
          <w:bCs/>
          <w:sz w:val="32"/>
          <w:szCs w:val="32"/>
          <w:lang w:eastAsia="zh-CN"/>
        </w:rPr>
        <w:t>本单位将单独为此项目制定管理制度，健全项目管理制度。进一步明确项目绩效目标的设置要求，统一细化标准，严格要求各分管科室，科学分解项目的具体绩效目标，以更全面、更完整地体现项目的预期实施成效。驻京信访维稳劝返值班工作经费</w:t>
      </w:r>
      <w:r>
        <w:rPr>
          <w:rFonts w:ascii="Times New Roman" w:hAnsi="Times New Roman" w:eastAsia="仿宋_GB2312" w:cs="Times New Roman"/>
          <w:sz w:val="32"/>
          <w:szCs w:val="32"/>
        </w:rPr>
        <w:t>项目全年预算数</w:t>
      </w:r>
      <w:r>
        <w:rPr>
          <w:rFonts w:hint="eastAsia" w:ascii="Times New Roman" w:hAnsi="Times New Roman" w:eastAsia="仿宋_GB2312" w:cs="Times New Roman"/>
          <w:sz w:val="32"/>
          <w:szCs w:val="32"/>
          <w:lang w:val="en-US" w:eastAsia="zh-CN"/>
        </w:rPr>
        <w:t>25</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25</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w:t>
      </w:r>
      <w:r>
        <w:rPr>
          <w:rFonts w:ascii="Times New Roman" w:hAnsi="Times New Roman" w:eastAsia="仿宋_GB2312" w:cs="Times New Roman"/>
          <w:sz w:val="32"/>
          <w:szCs w:val="32"/>
        </w:rPr>
        <w:t>部门评价得分</w:t>
      </w:r>
      <w:r>
        <w:rPr>
          <w:rFonts w:hint="eastAsia" w:ascii="Times New Roman" w:hAnsi="Times New Roman" w:eastAsia="仿宋_GB2312" w:cs="Times New Roman"/>
          <w:sz w:val="32"/>
          <w:szCs w:val="32"/>
          <w:lang w:val="en-US" w:eastAsia="zh-CN"/>
        </w:rPr>
        <w:t>95</w:t>
      </w:r>
      <w:r>
        <w:rPr>
          <w:rFonts w:ascii="Times New Roman" w:hAnsi="Times New Roman" w:eastAsia="仿宋_GB2312" w:cs="Times New Roman"/>
          <w:sz w:val="32"/>
          <w:szCs w:val="32"/>
        </w:rPr>
        <w:t>分，评价等级为</w:t>
      </w:r>
      <w:r>
        <w:rPr>
          <w:rFonts w:hint="eastAsia" w:ascii="Times New Roman" w:hAnsi="Times New Roman" w:eastAsia="仿宋_GB2312" w:cs="Times New Roman"/>
          <w:sz w:val="32"/>
          <w:szCs w:val="32"/>
          <w:lang w:eastAsia="zh-CN"/>
        </w:rPr>
        <w:t>优秀</w:t>
      </w:r>
      <w:r>
        <w:rPr>
          <w:rFonts w:ascii="Times New Roman" w:hAnsi="Times New Roman" w:eastAsia="仿宋_GB2312" w:cs="Times New Roman"/>
          <w:sz w:val="32"/>
          <w:szCs w:val="32"/>
        </w:rPr>
        <w:t>”。发现的主要问题及原因：</w:t>
      </w:r>
      <w:r>
        <w:rPr>
          <w:rFonts w:hint="eastAsia" w:ascii="仿宋_GB2312" w:hAnsi="Times New Roman" w:eastAsia="仿宋_GB2312" w:cs="Times New Roman"/>
          <w:bCs/>
          <w:sz w:val="32"/>
          <w:szCs w:val="32"/>
          <w:lang w:val="en-US" w:eastAsia="zh-CN"/>
        </w:rPr>
        <w:t>本项目是驻京信访维稳劝返值班工作经费，没有单独建立管理制度，参照相关的预算财务管理制度的规定，严格按相关制度执行</w:t>
      </w:r>
      <w:r>
        <w:rPr>
          <w:rFonts w:ascii="Times New Roman" w:hAnsi="Times New Roman" w:eastAsia="仿宋_GB2312" w:cs="Times New Roman"/>
          <w:sz w:val="32"/>
          <w:szCs w:val="32"/>
        </w:rPr>
        <w:t>。下一步改进措施：</w:t>
      </w:r>
      <w:r>
        <w:rPr>
          <w:rFonts w:hint="eastAsia" w:ascii="仿宋_GB2312" w:hAnsi="Times New Roman" w:eastAsia="仿宋_GB2312" w:cs="Times New Roman"/>
          <w:bCs/>
          <w:sz w:val="32"/>
          <w:szCs w:val="32"/>
          <w:lang w:val="en-US" w:eastAsia="zh-CN"/>
        </w:rPr>
        <w:t>健全项目管理制度，单独为此项目制定相关的管理制度</w:t>
      </w:r>
      <w:r>
        <w:rPr>
          <w:rFonts w:hint="eastAsia" w:ascii="仿宋_GB2312" w:hAnsi="Times New Roman" w:eastAsia="仿宋_GB2312" w:cs="Times New Roman"/>
          <w:bCs/>
          <w:sz w:val="32"/>
          <w:szCs w:val="32"/>
          <w:lang w:eastAsia="zh-CN"/>
        </w:rPr>
        <w:t>。</w:t>
      </w:r>
      <w:r>
        <w:rPr>
          <w:rFonts w:hint="eastAsia" w:ascii="仿宋_GB2312" w:hAnsi="仿宋_GB2312" w:eastAsia="仿宋_GB2312" w:cs="仿宋_GB2312"/>
          <w:sz w:val="32"/>
          <w:szCs w:val="32"/>
          <w:lang w:val="en-US" w:eastAsia="zh-CN"/>
        </w:rPr>
        <w:t>其他人员经费</w:t>
      </w:r>
      <w:r>
        <w:rPr>
          <w:rFonts w:ascii="Times New Roman" w:hAnsi="Times New Roman" w:eastAsia="仿宋_GB2312" w:cs="Times New Roman"/>
          <w:sz w:val="32"/>
          <w:szCs w:val="32"/>
        </w:rPr>
        <w:t>项目全年预算数</w:t>
      </w:r>
      <w:r>
        <w:rPr>
          <w:rFonts w:hint="eastAsia" w:ascii="Times New Roman" w:hAnsi="Times New Roman" w:eastAsia="仿宋_GB2312" w:cs="Times New Roman"/>
          <w:sz w:val="32"/>
          <w:szCs w:val="32"/>
          <w:lang w:val="en-US" w:eastAsia="zh-CN"/>
        </w:rPr>
        <w:t>0.29</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0.29</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w:t>
      </w:r>
      <w:r>
        <w:rPr>
          <w:rFonts w:ascii="Times New Roman" w:hAnsi="Times New Roman" w:eastAsia="仿宋_GB2312" w:cs="Times New Roman"/>
          <w:sz w:val="32"/>
          <w:szCs w:val="32"/>
        </w:rPr>
        <w:t>部门评价得分</w:t>
      </w:r>
      <w:r>
        <w:rPr>
          <w:rFonts w:hint="eastAsia" w:ascii="Times New Roman" w:hAnsi="Times New Roman" w:eastAsia="仿宋_GB2312" w:cs="Times New Roman"/>
          <w:sz w:val="32"/>
          <w:szCs w:val="32"/>
          <w:lang w:val="en-US" w:eastAsia="zh-CN"/>
        </w:rPr>
        <w:t>97</w:t>
      </w:r>
      <w:r>
        <w:rPr>
          <w:rFonts w:ascii="Times New Roman" w:hAnsi="Times New Roman" w:eastAsia="仿宋_GB2312" w:cs="Times New Roman"/>
          <w:sz w:val="32"/>
          <w:szCs w:val="32"/>
        </w:rPr>
        <w:t>分，评价等级为</w:t>
      </w:r>
      <w:r>
        <w:rPr>
          <w:rFonts w:hint="eastAsia" w:ascii="Times New Roman" w:hAnsi="Times New Roman" w:eastAsia="仿宋_GB2312" w:cs="Times New Roman"/>
          <w:sz w:val="32"/>
          <w:szCs w:val="32"/>
          <w:lang w:eastAsia="zh-CN"/>
        </w:rPr>
        <w:t>优秀</w:t>
      </w:r>
      <w:r>
        <w:rPr>
          <w:rFonts w:ascii="Times New Roman" w:hAnsi="Times New Roman" w:eastAsia="仿宋_GB2312" w:cs="Times New Roman"/>
          <w:sz w:val="32"/>
          <w:szCs w:val="32"/>
        </w:rPr>
        <w:t>”。发现的主要问题及原因：</w:t>
      </w:r>
      <w:r>
        <w:rPr>
          <w:rFonts w:hint="eastAsia" w:ascii="仿宋_GB2312" w:hAnsi="Times New Roman" w:eastAsia="仿宋_GB2312" w:cs="Times New Roman"/>
          <w:bCs/>
          <w:sz w:val="32"/>
          <w:szCs w:val="32"/>
          <w:lang w:val="en-US" w:eastAsia="zh-CN"/>
        </w:rPr>
        <w:t>无</w:t>
      </w:r>
      <w:r>
        <w:rPr>
          <w:rFonts w:ascii="Times New Roman" w:hAnsi="Times New Roman" w:eastAsia="仿宋_GB2312" w:cs="Times New Roman"/>
          <w:sz w:val="32"/>
          <w:szCs w:val="32"/>
        </w:rPr>
        <w:t>。下一步改进措施：</w:t>
      </w:r>
      <w:r>
        <w:rPr>
          <w:rFonts w:hint="eastAsia" w:ascii="仿宋_GB2312" w:hAnsi="Times New Roman" w:eastAsia="仿宋_GB2312" w:cs="Times New Roman"/>
          <w:bCs/>
          <w:sz w:val="32"/>
          <w:szCs w:val="32"/>
          <w:lang w:val="en-US" w:eastAsia="zh-CN"/>
        </w:rPr>
        <w:t>无</w:t>
      </w:r>
      <w:r>
        <w:rPr>
          <w:rFonts w:hint="eastAsia" w:ascii="仿宋_GB2312" w:hAnsi="Times New Roman" w:eastAsia="仿宋_GB2312" w:cs="Times New Roman"/>
          <w:bCs/>
          <w:sz w:val="32"/>
          <w:szCs w:val="32"/>
          <w:lang w:eastAsia="zh-CN"/>
        </w:rPr>
        <w:t>。离退休人员生活补助</w:t>
      </w:r>
      <w:r>
        <w:rPr>
          <w:rFonts w:ascii="Times New Roman" w:hAnsi="Times New Roman" w:eastAsia="仿宋_GB2312" w:cs="Times New Roman"/>
          <w:sz w:val="32"/>
          <w:szCs w:val="32"/>
        </w:rPr>
        <w:t>项目全年预算数</w:t>
      </w:r>
      <w:r>
        <w:rPr>
          <w:rFonts w:hint="eastAsia" w:ascii="Times New Roman" w:hAnsi="Times New Roman" w:eastAsia="仿宋_GB2312" w:cs="Times New Roman"/>
          <w:sz w:val="32"/>
          <w:szCs w:val="32"/>
          <w:lang w:val="en-US" w:eastAsia="zh-CN"/>
        </w:rPr>
        <w:t>7.47</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7.47</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w:t>
      </w:r>
      <w:r>
        <w:rPr>
          <w:rFonts w:ascii="Times New Roman" w:hAnsi="Times New Roman" w:eastAsia="仿宋_GB2312" w:cs="Times New Roman"/>
          <w:sz w:val="32"/>
          <w:szCs w:val="32"/>
        </w:rPr>
        <w:t>部门评价得分</w:t>
      </w:r>
      <w:r>
        <w:rPr>
          <w:rFonts w:hint="eastAsia" w:ascii="Times New Roman" w:hAnsi="Times New Roman" w:eastAsia="仿宋_GB2312" w:cs="Times New Roman"/>
          <w:sz w:val="32"/>
          <w:szCs w:val="32"/>
          <w:lang w:val="en-US" w:eastAsia="zh-CN"/>
        </w:rPr>
        <w:t>97</w:t>
      </w:r>
      <w:r>
        <w:rPr>
          <w:rFonts w:ascii="Times New Roman" w:hAnsi="Times New Roman" w:eastAsia="仿宋_GB2312" w:cs="Times New Roman"/>
          <w:sz w:val="32"/>
          <w:szCs w:val="32"/>
        </w:rPr>
        <w:t>分，评价等级为</w:t>
      </w:r>
      <w:r>
        <w:rPr>
          <w:rFonts w:hint="eastAsia" w:ascii="Times New Roman" w:hAnsi="Times New Roman" w:eastAsia="仿宋_GB2312" w:cs="Times New Roman"/>
          <w:sz w:val="32"/>
          <w:szCs w:val="32"/>
          <w:lang w:eastAsia="zh-CN"/>
        </w:rPr>
        <w:t>优秀</w:t>
      </w:r>
      <w:r>
        <w:rPr>
          <w:rFonts w:ascii="Times New Roman" w:hAnsi="Times New Roman" w:eastAsia="仿宋_GB2312" w:cs="Times New Roman"/>
          <w:sz w:val="32"/>
          <w:szCs w:val="32"/>
        </w:rPr>
        <w:t>”。发现的主要问题及原因：</w:t>
      </w:r>
      <w:r>
        <w:rPr>
          <w:rFonts w:hint="eastAsia" w:ascii="仿宋_GB2312" w:hAnsi="Times New Roman" w:eastAsia="仿宋_GB2312" w:cs="Times New Roman"/>
          <w:bCs/>
          <w:sz w:val="32"/>
          <w:szCs w:val="32"/>
          <w:lang w:val="en-US" w:eastAsia="zh-CN"/>
        </w:rPr>
        <w:t>无</w:t>
      </w:r>
      <w:r>
        <w:rPr>
          <w:rFonts w:ascii="Times New Roman" w:hAnsi="Times New Roman" w:eastAsia="仿宋_GB2312" w:cs="Times New Roman"/>
          <w:sz w:val="32"/>
          <w:szCs w:val="32"/>
        </w:rPr>
        <w:t>。下一步改进措施：</w:t>
      </w:r>
      <w:r>
        <w:rPr>
          <w:rFonts w:hint="eastAsia" w:ascii="仿宋_GB2312" w:hAnsi="Times New Roman" w:eastAsia="仿宋_GB2312" w:cs="Times New Roman"/>
          <w:bCs/>
          <w:sz w:val="32"/>
          <w:szCs w:val="32"/>
          <w:lang w:val="en-US" w:eastAsia="zh-CN"/>
        </w:rPr>
        <w:t>无</w:t>
      </w:r>
      <w:r>
        <w:rPr>
          <w:rFonts w:hint="eastAsia" w:ascii="仿宋_GB2312" w:hAnsi="Times New Roman" w:eastAsia="仿宋_GB2312" w:cs="Times New Roman"/>
          <w:bCs/>
          <w:sz w:val="32"/>
          <w:szCs w:val="32"/>
          <w:lang w:eastAsia="zh-CN"/>
        </w:rPr>
        <w:t>。</w:t>
      </w:r>
    </w:p>
    <w:p w14:paraId="482EC567">
      <w:pPr>
        <w:numPr>
          <w:numId w:val="0"/>
        </w:numPr>
        <w:spacing w:line="560" w:lineRule="exact"/>
        <w:ind w:firstLine="643" w:firstLineChars="200"/>
        <w:jc w:val="left"/>
        <w:rPr>
          <w:rFonts w:ascii="Times New Roman" w:hAnsi="Times New Roman" w:eastAsia="仿宋_GB2312" w:cs="Times New Roman"/>
          <w:bCs/>
          <w:sz w:val="32"/>
          <w:szCs w:val="32"/>
        </w:rPr>
      </w:pPr>
      <w:r>
        <w:rPr>
          <w:rFonts w:ascii="Times New Roman" w:hAnsi="Times New Roman" w:eastAsia="仿宋_GB2312" w:cs="Times New Roman"/>
          <w:b/>
          <w:bCs/>
          <w:kern w:val="0"/>
          <w:sz w:val="32"/>
          <w:szCs w:val="32"/>
        </w:rPr>
        <w:t>三是事前绩效评估结果。</w:t>
      </w:r>
      <w:r>
        <w:rPr>
          <w:rFonts w:ascii="Times New Roman" w:hAnsi="Times New Roman" w:eastAsia="仿宋_GB2312" w:cs="Times New Roman"/>
          <w:kern w:val="0"/>
          <w:sz w:val="32"/>
          <w:szCs w:val="32"/>
        </w:rPr>
        <w:t>2024年度</w:t>
      </w: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kern w:val="0"/>
          <w:sz w:val="32"/>
          <w:szCs w:val="32"/>
        </w:rPr>
        <w:t>个重大项目事前绩效评估，其中，</w:t>
      </w: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kern w:val="0"/>
          <w:sz w:val="32"/>
          <w:szCs w:val="32"/>
        </w:rPr>
        <w:t>个项目评估通过，涉及资金</w:t>
      </w:r>
      <w:r>
        <w:rPr>
          <w:rFonts w:hint="eastAsia" w:ascii="Times New Roman" w:hAnsi="Times New Roman" w:eastAsia="仿宋_GB2312" w:cs="Times New Roman"/>
          <w:kern w:val="0"/>
          <w:sz w:val="32"/>
          <w:szCs w:val="32"/>
          <w:lang w:val="en-US" w:eastAsia="zh-CN"/>
        </w:rPr>
        <w:t>73.62</w:t>
      </w:r>
      <w:r>
        <w:rPr>
          <w:rFonts w:ascii="Times New Roman" w:hAnsi="Times New Roman" w:eastAsia="仿宋_GB2312" w:cs="Times New Roman"/>
          <w:kern w:val="0"/>
          <w:sz w:val="32"/>
          <w:szCs w:val="32"/>
        </w:rPr>
        <w:t>万元，</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个项目评估不通过，涉及资金</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万元。</w:t>
      </w:r>
    </w:p>
    <w:p w14:paraId="07212DC7">
      <w:pPr>
        <w:pStyle w:val="7"/>
        <w:numPr>
          <w:ilvl w:val="0"/>
          <w:numId w:val="1"/>
        </w:numPr>
        <w:overflowPunct w:val="0"/>
        <w:autoSpaceDE/>
        <w:autoSpaceDN/>
        <w:spacing w:line="600" w:lineRule="exact"/>
        <w:ind w:left="0" w:leftChars="0" w:firstLine="643" w:firstLineChars="200"/>
        <w:jc w:val="both"/>
        <w:rPr>
          <w:rFonts w:ascii="Times New Roman" w:hAnsi="Times New Roman" w:eastAsia="楷体_GB2312" w:cs="Times New Roman"/>
          <w:b/>
          <w:bCs/>
          <w:color w:val="auto"/>
          <w:kern w:val="2"/>
          <w:sz w:val="32"/>
          <w:szCs w:val="32"/>
        </w:rPr>
      </w:pPr>
      <w:r>
        <w:rPr>
          <w:rFonts w:ascii="Times New Roman" w:hAnsi="Times New Roman" w:eastAsia="楷体_GB2312" w:cs="Times New Roman"/>
          <w:b/>
          <w:bCs/>
          <w:color w:val="auto"/>
          <w:kern w:val="2"/>
          <w:sz w:val="32"/>
          <w:szCs w:val="32"/>
        </w:rPr>
        <w:t>评价结果应用情况</w:t>
      </w:r>
    </w:p>
    <w:p w14:paraId="51929827">
      <w:pPr>
        <w:pStyle w:val="7"/>
        <w:numPr>
          <w:numId w:val="0"/>
        </w:numPr>
        <w:overflowPunct w:val="0"/>
        <w:autoSpaceDE/>
        <w:autoSpaceDN/>
        <w:spacing w:line="600" w:lineRule="exact"/>
        <w:ind w:firstLine="640" w:firstLineChars="200"/>
        <w:jc w:val="both"/>
      </w:pPr>
      <w:r>
        <w:rPr>
          <w:rFonts w:hint="eastAsia" w:ascii="Times New Roman" w:hAnsi="Times New Roman" w:eastAsia="仿宋_GB2312" w:cs="Times New Roman"/>
          <w:sz w:val="32"/>
          <w:szCs w:val="32"/>
        </w:rPr>
        <w:t>夯实工作基础，完善工作制度，细化工作内容，建立起对应的工作流程和业务规范，运用预算管理、对标管理、资产管理等手段，实现全过程控制，将财务管理由事后管理转化为事前控制、事中监督、预警管理，实现对财务工作的动态管理。建立以绩效为导向的预算编制模式。提高部门预算和整体支出绩效目标编制的科学性和前瞻性，科学合理编制预算，提高预算预见力，严格执行预算，避免项目支出与基本支出划分不准或预算支出与实际执行出现较大偏差</w:t>
      </w:r>
      <w:r>
        <w:rPr>
          <w:rFonts w:hint="eastAsia" w:ascii="Times New Roman" w:hAnsi="Times New Roman" w:eastAsia="仿宋_GB2312" w:cs="Times New Roman"/>
          <w:sz w:val="32"/>
          <w:szCs w:val="32"/>
          <w:lang w:eastAsia="zh-CN"/>
        </w:rPr>
        <w:t>的情况。</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7913BA"/>
    <w:multiLevelType w:val="singleLevel"/>
    <w:tmpl w:val="1D7913B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iZjM2MjQwZTcwNjYyYzc4NDQ2ZDkzYWM3NGZmNDAifQ=="/>
  </w:docVars>
  <w:rsids>
    <w:rsidRoot w:val="00000000"/>
    <w:rsid w:val="489A18C8"/>
    <w:rsid w:val="506374B2"/>
    <w:rsid w:val="60861761"/>
    <w:rsid w:val="727342FE"/>
    <w:rsid w:val="7BB26C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3">
    <w:name w:val="Body Text First Indent 2"/>
    <w:basedOn w:val="2"/>
    <w:next w:val="1"/>
    <w:unhideWhenUsed/>
    <w:qFormat/>
    <w:uiPriority w:val="99"/>
    <w:pPr>
      <w:ind w:firstLine="420" w:firstLineChars="200"/>
    </w:pPr>
  </w:style>
  <w:style w:type="paragraph" w:styleId="4">
    <w:name w:val="footnote text"/>
    <w:basedOn w:val="1"/>
    <w:next w:val="3"/>
    <w:semiHidden/>
    <w:qFormat/>
    <w:uiPriority w:val="0"/>
    <w:pPr>
      <w:snapToGrid w:val="0"/>
      <w:jc w:val="left"/>
    </w:pPr>
    <w:rPr>
      <w:sz w:val="18"/>
      <w:szCs w:val="18"/>
    </w:rPr>
  </w:style>
  <w:style w:type="paragraph" w:customStyle="1" w:styleId="7">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844</Words>
  <Characters>935</Characters>
  <Lines>0</Lines>
  <Paragraphs>0</Paragraphs>
  <TotalTime>6</TotalTime>
  <ScaleCrop>false</ScaleCrop>
  <LinksUpToDate>false</LinksUpToDate>
  <CharactersWithSpaces>944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来一杯</cp:lastModifiedBy>
  <dcterms:modified xsi:type="dcterms:W3CDTF">2025-10-17T09:07:50Z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12A71744045445B687D66BD13FB312DC_12</vt:lpwstr>
  </property>
  <property fmtid="{D5CDD505-2E9C-101B-9397-08002B2CF9AE}" pid="4" name="KSOTemplateDocerSaveRecord">
    <vt:lpwstr>eyJoZGlkIjoiOTIzMDQ2Yjc2NWNlZmZiOWJjNDkzMGViZmE3MzJlNDgiLCJ1c2VySWQiOiI1NTYyMDYyMjIifQ==</vt:lpwstr>
  </property>
</Properties>
</file>